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</w:t>
      </w:r>
      <w:bookmarkStart w:id="0" w:name="_GoBack"/>
      <w:bookmarkEnd w:id="0"/>
      <w:r w:rsidR="00216681">
        <w:rPr>
          <w:b w:val="0"/>
          <w:sz w:val="28"/>
          <w:szCs w:val="28"/>
        </w:rPr>
        <w:t>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</w:t>
      </w:r>
      <w:r w:rsidRPr="00841758">
        <w:rPr>
          <w:sz w:val="28"/>
          <w:szCs w:val="28"/>
        </w:rPr>
        <w:lastRenderedPageBreak/>
        <w:t>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1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>), млрд.руб.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Ввод в действие жилых домов, кв.м.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Инвестиции в основной капитал, млрд.руб.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lastRenderedPageBreak/>
              <w:t>Оборот розничной торговли, млрд.руб.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платных услуг населению, млрд.руб.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 xml:space="preserve">Оборот малых и средних предприятий, включая микропредприятия, </w:t>
            </w:r>
            <w:r w:rsidRPr="00841758">
              <w:rPr>
                <w:bCs/>
                <w:sz w:val="28"/>
                <w:szCs w:val="28"/>
              </w:rPr>
              <w:t>млрд.руб.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 xml:space="preserve">«Южно-Балыкский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841758">
        <w:rPr>
          <w:bCs/>
          <w:sz w:val="28"/>
          <w:szCs w:val="28"/>
        </w:rPr>
        <w:t xml:space="preserve"> АО «СибурТюменьГаз». </w:t>
      </w:r>
      <w:r w:rsidRPr="00841758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куб.м.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кВт.час.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«СибурТюменьГаз»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млн.руб., который предусматривает новое строительство 8 объектов и 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млн.руб.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r w:rsidRPr="00841758">
        <w:rPr>
          <w:sz w:val="28"/>
          <w:szCs w:val="28"/>
        </w:rPr>
        <w:t>В соответствии с градостроительными планом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Югория».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мкр.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>В 2019 году введено в эксплуатацию 42 486,2 кв.м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кв.м.)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В 2020 году ожидается ввод 30,0 тыс. кв. метров, в 2021-2023 гг прогноз жилищного строительства составляет 91,1 тыс.кв.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кв.м.) по сравнению с 2018 годом.  Основную долю жилых помещений – 95,8% составляет благоустроенное и пригодное для проживания жилье (667,8 тыс.кв. метров), 4,2% - ветхий, аварийный и прочий жилищный фонд (29,6 тыс.кв.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</w:t>
      </w:r>
      <w:r w:rsidRPr="00841758">
        <w:rPr>
          <w:sz w:val="28"/>
          <w:szCs w:val="28"/>
        </w:rPr>
        <w:lastRenderedPageBreak/>
        <w:t>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Кроме жилищного строительства, в отчетном периоде были построены (реконструированы) торговые объекты, завершено строительство комплекса «Школа - Детский Сад (330 учащихся/220 мест) (Общеобразовательная организация с универсальной безбарьерной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кв.м, в том числе представлены торговые марки федерального значения – это магазины: «Магнит», «Пятерочка», «Монетка», «Красное Белое», «Продукты Ермолино», «Светофор», магазины цифровой и бытовой техники «DNS» и «RBT.ru», салоны связи «Евросеть», «Связной», «Мегафон», «Теле2»; «Кари», «Галамарт», «Магнит Косметик», «Sela»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</w:t>
      </w:r>
      <w:r w:rsidRPr="00841758">
        <w:rPr>
          <w:sz w:val="28"/>
          <w:szCs w:val="28"/>
        </w:rPr>
        <w:lastRenderedPageBreak/>
        <w:t xml:space="preserve">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 xml:space="preserve">Обязательства населения обслуживать кредиты, взятые в прошлые периоды, а также сложившаяся ситуация в связи с пандемией, </w:t>
      </w:r>
      <w:r w:rsidRPr="00841758">
        <w:rPr>
          <w:sz w:val="28"/>
          <w:szCs w:val="28"/>
        </w:rPr>
        <w:lastRenderedPageBreak/>
        <w:t>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</w:t>
      </w:r>
      <w:r w:rsidRPr="00841758">
        <w:rPr>
          <w:sz w:val="28"/>
          <w:szCs w:val="28"/>
        </w:rPr>
        <w:lastRenderedPageBreak/>
        <w:t>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2  специальных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инфраструктурно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</w:t>
      </w:r>
      <w:r w:rsidRPr="00841758">
        <w:rPr>
          <w:bCs/>
          <w:sz w:val="28"/>
          <w:szCs w:val="28"/>
          <w:lang w:eastAsia="en-US"/>
        </w:rPr>
        <w:lastRenderedPageBreak/>
        <w:t>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 xml:space="preserve">остановлением Правительства ХМАО - Югры от 30.11.2018 № 450-п «Об Адресной инвестиционной программе Ханты-Мансийского автономного округа </w:t>
      </w:r>
      <w:r w:rsidRPr="00841758">
        <w:rPr>
          <w:sz w:val="28"/>
          <w:szCs w:val="28"/>
        </w:rPr>
        <w:lastRenderedPageBreak/>
        <w:t>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Реконструкция ВОС-1 (2-я очередь) г. Пыть-Ях на 2020 год – 158,3 млн. рублей, на 2021 год – 34,5 млн.рублей;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9D7BD3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21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старше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кВт.ч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руб./тыс.кВт.ч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Малое и среднее предпринимательство, включая микропредприятия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малых и средних предприятий, включая микропредприятия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раб.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8869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D7BD3" w:rsidRPr="009D7BD3" w:rsidRDefault="009D7BD3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D7BD3">
          <w:rPr>
            <w:rFonts w:asciiTheme="minorHAnsi" w:hAnsiTheme="minorHAnsi"/>
            <w:sz w:val="22"/>
            <w:szCs w:val="22"/>
          </w:rPr>
          <w:fldChar w:fldCharType="begin"/>
        </w:r>
        <w:r w:rsidRPr="009D7B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D7BD3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322</w:t>
        </w:r>
        <w:r w:rsidRPr="009D7B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DB9" w:rsidRDefault="00554DB9">
    <w:pPr>
      <w:pStyle w:val="a3"/>
      <w:jc w:val="right"/>
    </w:pPr>
  </w:p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EndPr/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D3">
          <w:rPr>
            <w:noProof/>
          </w:rPr>
          <w:t>354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D7BD3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760C6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8</TotalTime>
  <Pages>34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5</cp:revision>
  <cp:lastPrinted>2021-04-15T04:38:00Z</cp:lastPrinted>
  <dcterms:created xsi:type="dcterms:W3CDTF">2020-11-03T04:34:00Z</dcterms:created>
  <dcterms:modified xsi:type="dcterms:W3CDTF">2021-04-15T04:38:00Z</dcterms:modified>
</cp:coreProperties>
</file>